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D6135" w14:textId="77777777" w:rsidR="004945EA" w:rsidRPr="00825698" w:rsidRDefault="004945EA" w:rsidP="004945EA">
      <w:pPr>
        <w:rPr>
          <w:rFonts w:ascii="Century" w:hAnsi="Century" w:cs="Times New Roman"/>
          <w:sz w:val="26"/>
          <w:szCs w:val="26"/>
        </w:rPr>
      </w:pPr>
    </w:p>
    <w:p w14:paraId="22471CB3" w14:textId="77777777" w:rsidR="004945EA" w:rsidRPr="00825698" w:rsidRDefault="004945EA" w:rsidP="004945EA">
      <w:pPr>
        <w:tabs>
          <w:tab w:val="left" w:pos="3615"/>
        </w:tabs>
        <w:rPr>
          <w:rFonts w:ascii="Century" w:hAnsi="Century" w:cs="Times New Roman"/>
          <w:sz w:val="26"/>
          <w:szCs w:val="26"/>
        </w:rPr>
      </w:pPr>
      <w:r w:rsidRPr="00825698">
        <w:rPr>
          <w:rFonts w:ascii="Century" w:hAnsi="Century" w:cs="Times New Roman"/>
          <w:sz w:val="26"/>
          <w:szCs w:val="26"/>
        </w:rPr>
        <w:tab/>
        <w:t xml:space="preserve">Adenda </w:t>
      </w:r>
      <w:proofErr w:type="spellStart"/>
      <w:r w:rsidRPr="00825698">
        <w:rPr>
          <w:rFonts w:ascii="Century" w:hAnsi="Century" w:cs="Times New Roman"/>
          <w:sz w:val="26"/>
          <w:szCs w:val="26"/>
        </w:rPr>
        <w:t>No.01</w:t>
      </w:r>
      <w:proofErr w:type="spellEnd"/>
    </w:p>
    <w:p w14:paraId="1D24CED4" w14:textId="77777777" w:rsidR="004945EA" w:rsidRPr="00825698" w:rsidRDefault="004945EA" w:rsidP="004945EA">
      <w:pPr>
        <w:tabs>
          <w:tab w:val="left" w:pos="3105"/>
        </w:tabs>
        <w:jc w:val="center"/>
        <w:rPr>
          <w:rFonts w:ascii="Century" w:hAnsi="Century" w:cs="Times New Roman"/>
          <w:sz w:val="26"/>
          <w:szCs w:val="26"/>
        </w:rPr>
      </w:pPr>
      <w:r w:rsidRPr="00825698">
        <w:rPr>
          <w:rFonts w:ascii="Century" w:hAnsi="Century" w:cs="Times New Roman"/>
          <w:sz w:val="26"/>
          <w:szCs w:val="26"/>
        </w:rPr>
        <w:t>Ref. CECANOT-CCC-</w:t>
      </w:r>
      <w:proofErr w:type="spellStart"/>
      <w:r w:rsidRPr="00825698">
        <w:rPr>
          <w:rFonts w:ascii="Century" w:hAnsi="Century" w:cs="Times New Roman"/>
          <w:sz w:val="26"/>
          <w:szCs w:val="26"/>
        </w:rPr>
        <w:t>PEEX</w:t>
      </w:r>
      <w:proofErr w:type="spellEnd"/>
      <w:r w:rsidRPr="00825698">
        <w:rPr>
          <w:rFonts w:ascii="Century" w:hAnsi="Century" w:cs="Times New Roman"/>
          <w:sz w:val="26"/>
          <w:szCs w:val="26"/>
        </w:rPr>
        <w:t>-2020-0013</w:t>
      </w:r>
    </w:p>
    <w:bookmarkStart w:id="0" w:name="incBuyerDossierDetaillnkRequestName"/>
    <w:p w14:paraId="281F5FA7" w14:textId="77777777" w:rsidR="004945EA" w:rsidRPr="00825698" w:rsidRDefault="004945EA" w:rsidP="004945EA">
      <w:pPr>
        <w:jc w:val="center"/>
        <w:rPr>
          <w:rFonts w:ascii="Century" w:hAnsi="Century"/>
          <w:sz w:val="24"/>
          <w:szCs w:val="24"/>
        </w:rPr>
      </w:pPr>
      <w:r w:rsidRPr="00825698">
        <w:rPr>
          <w:rFonts w:ascii="Century" w:hAnsi="Century"/>
          <w:sz w:val="24"/>
          <w:szCs w:val="24"/>
        </w:rPr>
        <w:fldChar w:fldCharType="begin"/>
      </w:r>
      <w:r w:rsidRPr="00825698">
        <w:rPr>
          <w:rFonts w:ascii="Century" w:hAnsi="Century"/>
          <w:sz w:val="24"/>
          <w:szCs w:val="24"/>
        </w:rPr>
        <w:instrText xml:space="preserve"> HYPERLINK "javascript:void(0);" </w:instrText>
      </w:r>
      <w:r w:rsidRPr="00825698">
        <w:rPr>
          <w:rFonts w:ascii="Century" w:hAnsi="Century"/>
          <w:sz w:val="24"/>
          <w:szCs w:val="24"/>
        </w:rPr>
        <w:fldChar w:fldCharType="separate"/>
      </w:r>
      <w:r w:rsidRPr="00825698">
        <w:rPr>
          <w:rStyle w:val="Hipervnculo"/>
          <w:rFonts w:ascii="Century" w:hAnsi="Century" w:cs="Arial"/>
          <w:color w:val="0074E8"/>
          <w:shd w:val="clear" w:color="auto" w:fill="FFFFFF"/>
        </w:rPr>
        <w:t>Compra de Midazolam de 5mg/ml x 10 ml 50 mg ampolla</w:t>
      </w:r>
      <w:r w:rsidRPr="00825698">
        <w:rPr>
          <w:rFonts w:ascii="Century" w:hAnsi="Century"/>
          <w:sz w:val="24"/>
          <w:szCs w:val="24"/>
        </w:rPr>
        <w:fldChar w:fldCharType="end"/>
      </w:r>
      <w:bookmarkEnd w:id="0"/>
    </w:p>
    <w:p w14:paraId="56A54BD4" w14:textId="77777777" w:rsidR="004945EA" w:rsidRPr="00825698" w:rsidRDefault="004945EA" w:rsidP="004945EA">
      <w:pPr>
        <w:jc w:val="center"/>
        <w:rPr>
          <w:rFonts w:ascii="Century" w:hAnsi="Century" w:cs="Times New Roman"/>
          <w:sz w:val="24"/>
          <w:szCs w:val="24"/>
        </w:rPr>
      </w:pPr>
    </w:p>
    <w:p w14:paraId="1E5AECC5" w14:textId="77777777" w:rsidR="004945EA" w:rsidRPr="008B46B5" w:rsidRDefault="004945EA" w:rsidP="004945EA">
      <w:pPr>
        <w:rPr>
          <w:rFonts w:ascii="Century" w:hAnsi="Century" w:cs="Times New Roman"/>
        </w:rPr>
      </w:pPr>
      <w:r w:rsidRPr="008B46B5">
        <w:rPr>
          <w:rFonts w:ascii="Century" w:hAnsi="Century" w:cs="Times New Roman"/>
        </w:rPr>
        <w:t xml:space="preserve">A  </w:t>
      </w:r>
      <w:proofErr w:type="gramStart"/>
      <w:r w:rsidRPr="008B46B5">
        <w:rPr>
          <w:rFonts w:ascii="Century" w:hAnsi="Century" w:cs="Times New Roman"/>
        </w:rPr>
        <w:t xml:space="preserve">  :</w:t>
      </w:r>
      <w:proofErr w:type="gramEnd"/>
      <w:r w:rsidRPr="008B46B5">
        <w:rPr>
          <w:rFonts w:ascii="Century" w:hAnsi="Century" w:cs="Times New Roman"/>
        </w:rPr>
        <w:t xml:space="preserve"> Todos los Oferentes Interesados en participar.</w:t>
      </w:r>
    </w:p>
    <w:p w14:paraId="2139F27F" w14:textId="77777777" w:rsidR="004945EA" w:rsidRPr="008B46B5" w:rsidRDefault="004945EA" w:rsidP="004945EA">
      <w:pPr>
        <w:rPr>
          <w:rFonts w:ascii="Century" w:hAnsi="Century" w:cs="Times New Roman"/>
        </w:rPr>
      </w:pPr>
    </w:p>
    <w:p w14:paraId="4718BD11" w14:textId="77777777" w:rsidR="004945EA" w:rsidRPr="008B46B5" w:rsidRDefault="004945EA" w:rsidP="004945EA">
      <w:pPr>
        <w:rPr>
          <w:rFonts w:ascii="Century" w:hAnsi="Century" w:cs="Times New Roman"/>
        </w:rPr>
      </w:pPr>
      <w:r w:rsidRPr="008B46B5">
        <w:rPr>
          <w:rFonts w:ascii="Century" w:hAnsi="Century" w:cs="Times New Roman"/>
        </w:rPr>
        <w:t xml:space="preserve"> El comité de compras y contrataciones del centro cardio-Neuro Oftalmológico y trasplante CECANOT, les informa que a través de la presente Adenda </w:t>
      </w:r>
      <w:proofErr w:type="spellStart"/>
      <w:r w:rsidRPr="008B46B5">
        <w:rPr>
          <w:rFonts w:ascii="Century" w:hAnsi="Century" w:cs="Times New Roman"/>
        </w:rPr>
        <w:t>No.01</w:t>
      </w:r>
      <w:proofErr w:type="spellEnd"/>
      <w:r w:rsidRPr="008B46B5">
        <w:rPr>
          <w:rFonts w:ascii="Century" w:hAnsi="Century" w:cs="Times New Roman"/>
        </w:rPr>
        <w:t xml:space="preserve"> del proceso de referencia, ha decidido agregar cambios en las Especificaciones técnicas. </w:t>
      </w:r>
    </w:p>
    <w:p w14:paraId="4FADF5EC" w14:textId="41B355FA" w:rsidR="004945EA" w:rsidRPr="004945EA" w:rsidRDefault="004945EA" w:rsidP="004945EA">
      <w:pPr>
        <w:jc w:val="center"/>
        <w:rPr>
          <w:rFonts w:ascii="Century" w:hAnsi="Century"/>
          <w:b/>
          <w:bCs/>
          <w:color w:val="000000" w:themeColor="text1"/>
        </w:rPr>
      </w:pPr>
      <w:r w:rsidRPr="008B46B5">
        <w:rPr>
          <w:rFonts w:ascii="Century" w:hAnsi="Century" w:cs="Times New Roman"/>
          <w:b/>
          <w:bCs/>
          <w:color w:val="000000" w:themeColor="text1"/>
        </w:rPr>
        <w:t xml:space="preserve">Especificaciones Técnicas para </w:t>
      </w:r>
      <w:hyperlink r:id="rId8" w:history="1">
        <w:r w:rsidRPr="008B46B5">
          <w:rPr>
            <w:rStyle w:val="Hipervnculo"/>
            <w:rFonts w:ascii="Century" w:hAnsi="Century" w:cs="Arial"/>
            <w:b/>
            <w:bCs/>
            <w:color w:val="000000" w:themeColor="text1"/>
            <w:u w:val="none"/>
            <w:shd w:val="clear" w:color="auto" w:fill="FFFFFF"/>
          </w:rPr>
          <w:t>Compra de Midazolam de 5mg/ml x 10 ml 50 mg ampolla</w:t>
        </w:r>
      </w:hyperlink>
      <w:r w:rsidRPr="008B46B5">
        <w:rPr>
          <w:rFonts w:ascii="Century" w:hAnsi="Century"/>
          <w:b/>
          <w:bCs/>
          <w:color w:val="000000" w:themeColor="text1"/>
        </w:rPr>
        <w:t>.</w:t>
      </w:r>
    </w:p>
    <w:p w14:paraId="5FC02F21" w14:textId="77777777" w:rsidR="004945EA" w:rsidRPr="004945EA" w:rsidRDefault="004945EA" w:rsidP="004945EA">
      <w:pPr>
        <w:rPr>
          <w:rFonts w:ascii="Century" w:hAnsi="Century" w:cs="Arial"/>
          <w:b/>
          <w:bCs/>
          <w:color w:val="000000" w:themeColor="text1"/>
        </w:rPr>
      </w:pPr>
      <w:r w:rsidRPr="004945EA">
        <w:rPr>
          <w:rFonts w:ascii="Century" w:hAnsi="Century" w:cs="Arial"/>
          <w:b/>
          <w:bCs/>
          <w:color w:val="000000" w:themeColor="text1"/>
        </w:rPr>
        <w:t>Para que en lo adelante Digan:</w:t>
      </w:r>
    </w:p>
    <w:p w14:paraId="6ADD015E" w14:textId="77777777" w:rsidR="004945EA" w:rsidRPr="008B46B5" w:rsidRDefault="004945EA" w:rsidP="004945EA">
      <w:pPr>
        <w:jc w:val="both"/>
        <w:rPr>
          <w:rFonts w:ascii="Century" w:hAnsi="Century" w:cs="Arial"/>
        </w:rPr>
      </w:pPr>
    </w:p>
    <w:p w14:paraId="3B8A6112" w14:textId="77777777" w:rsidR="004945EA" w:rsidRPr="008B46B5" w:rsidRDefault="004945EA" w:rsidP="004945EA">
      <w:pPr>
        <w:pStyle w:val="Ttulo3"/>
        <w:rPr>
          <w:sz w:val="22"/>
          <w:szCs w:val="22"/>
        </w:rPr>
      </w:pPr>
      <w:bookmarkStart w:id="1" w:name="_Toc271530532"/>
      <w:bookmarkStart w:id="2" w:name="_Toc410128616"/>
      <w:r w:rsidRPr="008B46B5">
        <w:rPr>
          <w:sz w:val="22"/>
          <w:szCs w:val="22"/>
        </w:rPr>
        <w:t xml:space="preserve">Criterios de </w:t>
      </w:r>
      <w:bookmarkEnd w:id="1"/>
      <w:r w:rsidRPr="008B46B5">
        <w:rPr>
          <w:sz w:val="22"/>
          <w:szCs w:val="22"/>
        </w:rPr>
        <w:t>Evaluación</w:t>
      </w:r>
      <w:bookmarkEnd w:id="2"/>
    </w:p>
    <w:p w14:paraId="46BAB4FF" w14:textId="77777777" w:rsidR="004945EA" w:rsidRPr="008B46B5" w:rsidRDefault="004945EA" w:rsidP="004945EA">
      <w:pPr>
        <w:rPr>
          <w:rFonts w:ascii="Century" w:hAnsi="Century"/>
        </w:rPr>
      </w:pPr>
    </w:p>
    <w:p w14:paraId="03BE8317" w14:textId="77777777" w:rsidR="004945EA" w:rsidRPr="008B46B5" w:rsidRDefault="004945EA" w:rsidP="004945EA">
      <w:pPr>
        <w:jc w:val="both"/>
        <w:rPr>
          <w:rFonts w:ascii="Century" w:hAnsi="Century" w:cs="Arial"/>
        </w:rPr>
      </w:pPr>
      <w:r w:rsidRPr="008B46B5">
        <w:rPr>
          <w:rFonts w:ascii="Century" w:hAnsi="Century" w:cs="Arial"/>
        </w:rPr>
        <w:t>Las Propuestas deberán contener la documentación necesaria, suficiente y fehaciente para demostrar los siguientes aspectos que serán verificados bajo la modalidad “CUMPLE/ NO CUMPLE”:</w:t>
      </w:r>
    </w:p>
    <w:p w14:paraId="2B04BB58" w14:textId="17F62BAB" w:rsidR="004945EA" w:rsidRPr="008B46B5" w:rsidRDefault="004945EA" w:rsidP="004945EA">
      <w:pPr>
        <w:jc w:val="both"/>
        <w:rPr>
          <w:rFonts w:ascii="Century" w:hAnsi="Century" w:cs="Arial"/>
        </w:rPr>
      </w:pPr>
      <w:r w:rsidRPr="008B46B5">
        <w:rPr>
          <w:rFonts w:ascii="Century" w:hAnsi="Century" w:cs="Arial"/>
        </w:rPr>
        <w:t>Elegibilidad: Que el Proponente está legalmente autorizado para realizar sus actividades comerciales en el país.</w:t>
      </w:r>
    </w:p>
    <w:p w14:paraId="18728942" w14:textId="59F5FC69" w:rsidR="004945EA" w:rsidRPr="008B46B5" w:rsidRDefault="004945EA" w:rsidP="004945EA">
      <w:pPr>
        <w:jc w:val="both"/>
        <w:rPr>
          <w:rFonts w:ascii="Century" w:hAnsi="Century" w:cs="Arial"/>
        </w:rPr>
      </w:pPr>
      <w:r w:rsidRPr="008B46B5">
        <w:rPr>
          <w:rFonts w:ascii="Century" w:hAnsi="Century" w:cs="Arial"/>
        </w:rPr>
        <w:t xml:space="preserve">Capacidad Técnica: Que los Bienes cumplan con las todas características especificadas en las Fichas Técnicas. </w:t>
      </w:r>
    </w:p>
    <w:p w14:paraId="7D0858DA" w14:textId="4CE13850" w:rsidR="004945EA" w:rsidRPr="008B46B5" w:rsidRDefault="004945EA" w:rsidP="004945EA">
      <w:pPr>
        <w:pStyle w:val="Ttulo3"/>
        <w:rPr>
          <w:sz w:val="22"/>
          <w:szCs w:val="22"/>
        </w:rPr>
      </w:pPr>
      <w:bookmarkStart w:id="3" w:name="_Toc271530533"/>
      <w:bookmarkStart w:id="4" w:name="_Toc410128617"/>
      <w:r w:rsidRPr="008B46B5">
        <w:rPr>
          <w:sz w:val="22"/>
          <w:szCs w:val="22"/>
        </w:rPr>
        <w:t>Fase de Homologación</w:t>
      </w:r>
      <w:bookmarkEnd w:id="3"/>
      <w:bookmarkEnd w:id="4"/>
    </w:p>
    <w:p w14:paraId="4445A605" w14:textId="77777777" w:rsidR="004945EA" w:rsidRPr="008B46B5" w:rsidRDefault="004945EA" w:rsidP="004945EA">
      <w:pPr>
        <w:rPr>
          <w:rFonts w:ascii="Century" w:hAnsi="Century"/>
        </w:rPr>
      </w:pPr>
    </w:p>
    <w:p w14:paraId="3EFEED5A" w14:textId="77777777" w:rsidR="004945EA" w:rsidRPr="008B46B5" w:rsidRDefault="004945EA" w:rsidP="004945EA">
      <w:pPr>
        <w:jc w:val="both"/>
        <w:rPr>
          <w:rFonts w:ascii="Century" w:hAnsi="Century" w:cs="Arial"/>
          <w:color w:val="000000" w:themeColor="text1"/>
        </w:rPr>
      </w:pPr>
      <w:r w:rsidRPr="008B46B5">
        <w:rPr>
          <w:rFonts w:ascii="Century" w:hAnsi="Century" w:cs="Arial"/>
          <w:color w:val="000000" w:themeColor="text1"/>
        </w:rPr>
        <w:t xml:space="preserve">Una vez concluida la recepción de los “Sobres A”, se procederá a la valoración de las muestras, si aplica, </w:t>
      </w:r>
      <w:proofErr w:type="gramStart"/>
      <w:r w:rsidRPr="008B46B5">
        <w:rPr>
          <w:rFonts w:ascii="Century" w:hAnsi="Century" w:cs="Arial"/>
          <w:color w:val="000000" w:themeColor="text1"/>
        </w:rPr>
        <w:t>de acuerdo a</w:t>
      </w:r>
      <w:proofErr w:type="gramEnd"/>
      <w:r w:rsidRPr="008B46B5">
        <w:rPr>
          <w:rFonts w:ascii="Century" w:hAnsi="Century" w:cs="Arial"/>
          <w:color w:val="000000" w:themeColor="text1"/>
        </w:rPr>
        <w:t xml:space="preserve"> las especificaciones requeridas en las Fichas Técnicas y a la ponderación de la documentación solicitada al efecto, bajo la modalidad “CUMPLE/ NO CUMPLE”.</w:t>
      </w:r>
    </w:p>
    <w:p w14:paraId="54E45FE0" w14:textId="77777777" w:rsidR="004945EA" w:rsidRPr="008B46B5" w:rsidRDefault="004945EA" w:rsidP="004945EA">
      <w:pPr>
        <w:jc w:val="both"/>
        <w:rPr>
          <w:rFonts w:ascii="Century" w:hAnsi="Century" w:cs="Arial"/>
        </w:rPr>
      </w:pPr>
    </w:p>
    <w:p w14:paraId="0042D14C" w14:textId="773A2BAD" w:rsidR="004945EA" w:rsidRPr="008B46B5" w:rsidRDefault="004945EA" w:rsidP="004945EA">
      <w:pPr>
        <w:jc w:val="both"/>
        <w:rPr>
          <w:rFonts w:ascii="Century" w:hAnsi="Century" w:cs="Arial"/>
        </w:rPr>
      </w:pPr>
      <w:r w:rsidRPr="008B46B5">
        <w:rPr>
          <w:rFonts w:ascii="Century" w:hAnsi="Century" w:cs="Arial"/>
        </w:rPr>
        <w:t xml:space="preserve">Para que un Bien pueda ser considerado CONFORME, deberá cumplir con todas y cada una de las características contenidas en las referidas Fichas Técnicas. Es decir que, el no cumplimiento en una de las </w:t>
      </w:r>
      <w:proofErr w:type="gramStart"/>
      <w:r w:rsidRPr="008B46B5">
        <w:rPr>
          <w:rFonts w:ascii="Century" w:hAnsi="Century" w:cs="Arial"/>
        </w:rPr>
        <w:t>especificaciones,</w:t>
      </w:r>
      <w:proofErr w:type="gramEnd"/>
      <w:r w:rsidRPr="008B46B5">
        <w:rPr>
          <w:rFonts w:ascii="Century" w:hAnsi="Century" w:cs="Arial"/>
        </w:rPr>
        <w:t xml:space="preserve"> implica la descalificación de la Oferta y la declaración de NO CONFORME del Bien ofertado.</w:t>
      </w:r>
    </w:p>
    <w:p w14:paraId="7C03A86C" w14:textId="0DAA8B27" w:rsidR="004945EA" w:rsidRPr="008B46B5" w:rsidRDefault="004945EA" w:rsidP="004945EA">
      <w:pPr>
        <w:jc w:val="both"/>
        <w:rPr>
          <w:rFonts w:ascii="Century" w:hAnsi="Century" w:cs="Arial"/>
        </w:rPr>
      </w:pPr>
      <w:r w:rsidRPr="008B46B5">
        <w:rPr>
          <w:rFonts w:ascii="Century" w:hAnsi="Century" w:cs="Arial"/>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35254397" w14:textId="62A92205" w:rsidR="004945EA" w:rsidRPr="008B46B5" w:rsidRDefault="004945EA" w:rsidP="004945EA">
      <w:pPr>
        <w:jc w:val="both"/>
        <w:rPr>
          <w:rFonts w:ascii="Century" w:hAnsi="Century" w:cs="Arial"/>
        </w:rPr>
      </w:pPr>
      <w:r w:rsidRPr="008B46B5">
        <w:rPr>
          <w:rFonts w:ascii="Century" w:hAnsi="Century" w:cs="Arial"/>
        </w:rPr>
        <w:t>Los Peritos emitirán su informe al Comité de Compras y Contrataciones sobre los resultados de la evaluación de las Propuestas Técnicas “Sobre A”, a los fines de la recomendación final.</w:t>
      </w:r>
      <w:bookmarkStart w:id="5" w:name="_Toc271530534"/>
    </w:p>
    <w:p w14:paraId="719EB897" w14:textId="77777777" w:rsidR="004945EA" w:rsidRPr="008B46B5" w:rsidRDefault="004945EA" w:rsidP="004945EA">
      <w:pPr>
        <w:pStyle w:val="Ttulo3"/>
        <w:rPr>
          <w:sz w:val="22"/>
          <w:szCs w:val="22"/>
        </w:rPr>
      </w:pPr>
      <w:bookmarkStart w:id="6" w:name="_Toc410128618"/>
      <w:r w:rsidRPr="008B46B5">
        <w:rPr>
          <w:sz w:val="22"/>
          <w:szCs w:val="22"/>
        </w:rPr>
        <w:t>Apertura de los “Sobres B”, Contentivos de Propuestas Económicas</w:t>
      </w:r>
      <w:bookmarkEnd w:id="5"/>
      <w:bookmarkEnd w:id="6"/>
    </w:p>
    <w:p w14:paraId="711C76A8" w14:textId="77777777" w:rsidR="004945EA" w:rsidRPr="008B46B5" w:rsidRDefault="004945EA" w:rsidP="004945EA">
      <w:pPr>
        <w:rPr>
          <w:rFonts w:ascii="Century" w:hAnsi="Century" w:cs="Arial"/>
        </w:rPr>
      </w:pPr>
    </w:p>
    <w:p w14:paraId="7EF65018" w14:textId="0D8B0544" w:rsidR="004945EA" w:rsidRPr="008B46B5" w:rsidRDefault="004945EA" w:rsidP="004945EA">
      <w:pPr>
        <w:jc w:val="both"/>
        <w:rPr>
          <w:rFonts w:ascii="Century" w:hAnsi="Century" w:cs="Arial"/>
        </w:rPr>
      </w:pPr>
      <w:r w:rsidRPr="008B46B5">
        <w:rPr>
          <w:rFonts w:ascii="Century" w:hAnsi="Century" w:cs="Arial"/>
        </w:rPr>
        <w:t>El Comité de Compras y Contrataciones, dará inicio al Acto de Apertura y lectura de las Ofertas Económicas, “Sobre B”, conforme a la hora y en el lugar indicado.</w:t>
      </w:r>
    </w:p>
    <w:p w14:paraId="1C22DB2D" w14:textId="2955C750" w:rsidR="004945EA" w:rsidRPr="008B46B5" w:rsidRDefault="004945EA" w:rsidP="004945EA">
      <w:pPr>
        <w:jc w:val="both"/>
        <w:rPr>
          <w:rFonts w:ascii="Century" w:hAnsi="Century" w:cs="Arial"/>
        </w:rPr>
      </w:pPr>
      <w:r w:rsidRPr="008B46B5">
        <w:rPr>
          <w:rFonts w:ascii="Century" w:hAnsi="Century" w:cs="Arial"/>
        </w:rPr>
        <w:t xml:space="preserve">Sólo se abrirán las Ofertas Económicas de los Oferentes/Proponentes que hayan resultado habilitados en la primera etapa del proceso.  Son éstos aquellos </w:t>
      </w:r>
      <w:proofErr w:type="gramStart"/>
      <w:r w:rsidRPr="008B46B5">
        <w:rPr>
          <w:rFonts w:ascii="Century" w:hAnsi="Century" w:cs="Arial"/>
        </w:rPr>
        <w:t>que</w:t>
      </w:r>
      <w:proofErr w:type="gramEnd"/>
      <w:r w:rsidRPr="008B46B5">
        <w:rPr>
          <w:rFonts w:ascii="Century" w:hAnsi="Century" w:cs="Arial"/>
        </w:rPr>
        <w:t xml:space="preserve"> una vez finalizada la evaluación de las Ofertas Técnicas, cumplan con los criterios señalados en la sección Criterios de evaluación. Las demás serán devueltas sin abrir.  De igual modo, solo se dará lectura a los renglones que hayan resultado CONFORME en el proceso de evaluación de las Ofertas Técnicas.</w:t>
      </w:r>
    </w:p>
    <w:p w14:paraId="10C3DA24" w14:textId="5ACC1816" w:rsidR="004945EA" w:rsidRPr="008B46B5" w:rsidRDefault="004945EA" w:rsidP="004945EA">
      <w:pPr>
        <w:jc w:val="both"/>
        <w:rPr>
          <w:rFonts w:ascii="Century" w:hAnsi="Century" w:cs="Arial"/>
        </w:rPr>
      </w:pPr>
      <w:r w:rsidRPr="008B46B5">
        <w:rPr>
          <w:rFonts w:ascii="Century" w:hAnsi="Century" w:cs="Arial"/>
        </w:rPr>
        <w:t xml:space="preserve">A la hora fijada en el Cronograma de la Licitación, el Consultor Jurídico de la institución, en su calidad de Asesor Legal del Comité de Compras y Contrataciones, hará entrega formal al Notario Público actuante, en presencia de los Oferentes, de las Propuestas Económicas, “Sobre B”, que se mantenían bajo su custodia, para dar inicio al procedimiento de apertura y lectura de </w:t>
      </w:r>
      <w:proofErr w:type="gramStart"/>
      <w:r w:rsidRPr="008B46B5">
        <w:rPr>
          <w:rFonts w:ascii="Century" w:hAnsi="Century" w:cs="Arial"/>
        </w:rPr>
        <w:t>las mismas</w:t>
      </w:r>
      <w:proofErr w:type="gramEnd"/>
      <w:r w:rsidRPr="008B46B5">
        <w:rPr>
          <w:rFonts w:ascii="Century" w:hAnsi="Century" w:cs="Arial"/>
        </w:rPr>
        <w:t>.</w:t>
      </w:r>
    </w:p>
    <w:p w14:paraId="07DD6B0D" w14:textId="62C4DD88" w:rsidR="004945EA" w:rsidRPr="008B46B5" w:rsidRDefault="004945EA" w:rsidP="004945EA">
      <w:pPr>
        <w:jc w:val="both"/>
        <w:rPr>
          <w:rFonts w:ascii="Century" w:hAnsi="Century" w:cs="Arial"/>
        </w:rPr>
      </w:pPr>
      <w:r w:rsidRPr="008B46B5">
        <w:rPr>
          <w:rFonts w:ascii="Century" w:hAnsi="Century" w:cs="Arial"/>
        </w:rPr>
        <w:t xml:space="preserve">En acto público y en presencia de todos los interesados el Notario actuante procederá a la apertura y lectura de las Ofertas Económicas, certificando su contenido, rubricando y sellando cada página contenida en el “Sobre B”. </w:t>
      </w:r>
    </w:p>
    <w:p w14:paraId="54608ECA" w14:textId="77777777" w:rsidR="004945EA" w:rsidRPr="008B46B5" w:rsidRDefault="004945EA" w:rsidP="004945EA">
      <w:pPr>
        <w:jc w:val="both"/>
        <w:rPr>
          <w:rFonts w:ascii="Century" w:hAnsi="Century" w:cs="Arial"/>
        </w:rPr>
      </w:pPr>
      <w:r w:rsidRPr="008B46B5">
        <w:rPr>
          <w:rFonts w:ascii="Century" w:hAnsi="Century" w:cs="Arial"/>
        </w:rPr>
        <w:t>Las observaciones referentes a la Oferta que se esté leyendo, deberán realizarse en ese mismo instante, levantando la mano para tomar la palabra.  El o los Notarios actuantes procederán a hacer constar todas las incidencias que se vayan presentando durante la lectura.</w:t>
      </w:r>
    </w:p>
    <w:p w14:paraId="5B35BAEC" w14:textId="35738692" w:rsidR="004945EA" w:rsidRPr="008B46B5" w:rsidRDefault="004945EA" w:rsidP="004945EA">
      <w:pPr>
        <w:jc w:val="both"/>
        <w:rPr>
          <w:rFonts w:ascii="Century" w:hAnsi="Century" w:cs="Arial"/>
        </w:rPr>
      </w:pPr>
      <w:r w:rsidRPr="008B46B5">
        <w:rPr>
          <w:rFonts w:ascii="Century" w:hAnsi="Century" w:cs="Arial"/>
        </w:rPr>
        <w:lastRenderedPageBreak/>
        <w:t>Finalizada la lectura de las Ofertas, el o los Notarios actuantes procederán a invitar a los Representantes Legales de los Oferentes/Proponentes a hacer conocer sus observaciones; en caso de conformidad, se procederá a la clausura del acto.</w:t>
      </w:r>
    </w:p>
    <w:p w14:paraId="31044191" w14:textId="2BFE528D" w:rsidR="004945EA" w:rsidRPr="008B46B5" w:rsidRDefault="004945EA" w:rsidP="004945EA">
      <w:pPr>
        <w:jc w:val="both"/>
        <w:rPr>
          <w:rFonts w:ascii="Century" w:hAnsi="Century" w:cs="Arial"/>
        </w:rPr>
      </w:pPr>
      <w:r w:rsidRPr="008B46B5">
        <w:rPr>
          <w:rFonts w:ascii="Century" w:hAnsi="Century" w:cs="Arial"/>
        </w:rPr>
        <w:t>No se permitirá a ninguno de los presentes exteriorizar opiniones de tipo personal o calificativos peyorativos en contra de cualquiera de los Oferentes participantes.</w:t>
      </w:r>
    </w:p>
    <w:p w14:paraId="37588DFF" w14:textId="56B1B7F3" w:rsidR="004945EA" w:rsidRPr="008B46B5" w:rsidRDefault="004945EA" w:rsidP="004945EA">
      <w:pPr>
        <w:jc w:val="both"/>
        <w:rPr>
          <w:rFonts w:ascii="Century" w:hAnsi="Century" w:cs="Arial"/>
        </w:rPr>
      </w:pPr>
      <w:r w:rsidRPr="008B46B5">
        <w:rPr>
          <w:rFonts w:ascii="Century" w:hAnsi="Century" w:cs="Arial"/>
        </w:rPr>
        <w:t>El Oferente/Proponente o su representante que durante el proceso de la Licitación tome la palabra sin ser autorizado o exteriorice opiniones despectivas sobre algún producto o compañía, será sancionado con el retiro de su presencia del salón, con la finalidad de mantener el orden.</w:t>
      </w:r>
    </w:p>
    <w:p w14:paraId="194F77A0" w14:textId="7AEABF1D" w:rsidR="004945EA" w:rsidRPr="008B46B5" w:rsidRDefault="004945EA" w:rsidP="004945EA">
      <w:pPr>
        <w:jc w:val="both"/>
        <w:rPr>
          <w:rFonts w:ascii="Century" w:hAnsi="Century" w:cs="Arial"/>
        </w:rPr>
      </w:pPr>
      <w:r w:rsidRPr="008B46B5">
        <w:rPr>
          <w:rFonts w:ascii="Century" w:hAnsi="Century" w:cs="Arial"/>
        </w:rPr>
        <w:t xml:space="preserve">En caso de discrepancia entre la Oferta presentada en el formulario correspondiente, </w:t>
      </w:r>
      <w:r w:rsidRPr="008B46B5">
        <w:rPr>
          <w:rFonts w:ascii="Century" w:hAnsi="Century" w:cs="Arial"/>
          <w:color w:val="800000"/>
        </w:rPr>
        <w:t>(</w:t>
      </w:r>
      <w:proofErr w:type="spellStart"/>
      <w:r w:rsidRPr="008B46B5">
        <w:rPr>
          <w:rFonts w:ascii="Century" w:hAnsi="Century" w:cs="Arial"/>
          <w:color w:val="800000"/>
        </w:rPr>
        <w:t>SNCC.F.033</w:t>
      </w:r>
      <w:proofErr w:type="spellEnd"/>
      <w:r w:rsidRPr="008B46B5">
        <w:rPr>
          <w:rFonts w:ascii="Century" w:hAnsi="Century" w:cs="Arial"/>
          <w:color w:val="800000"/>
        </w:rPr>
        <w:t>)</w:t>
      </w:r>
      <w:r w:rsidRPr="008B46B5">
        <w:rPr>
          <w:rFonts w:ascii="Century" w:hAnsi="Century" w:cs="Arial"/>
        </w:rPr>
        <w:t xml:space="preserve">, debidamente recibido por el Notario Público actuante y la lectura de </w:t>
      </w:r>
      <w:proofErr w:type="gramStart"/>
      <w:r w:rsidRPr="008B46B5">
        <w:rPr>
          <w:rFonts w:ascii="Century" w:hAnsi="Century" w:cs="Arial"/>
        </w:rPr>
        <w:t>la misma</w:t>
      </w:r>
      <w:proofErr w:type="gramEnd"/>
      <w:r w:rsidRPr="008B46B5">
        <w:rPr>
          <w:rFonts w:ascii="Century" w:hAnsi="Century" w:cs="Arial"/>
        </w:rPr>
        <w:t>, prevalecerá el documento escrito.</w:t>
      </w:r>
    </w:p>
    <w:p w14:paraId="3B9DD68B" w14:textId="1AB2B393" w:rsidR="004945EA" w:rsidRPr="008B46B5" w:rsidRDefault="004945EA" w:rsidP="004945EA">
      <w:pPr>
        <w:jc w:val="both"/>
        <w:rPr>
          <w:rFonts w:ascii="Century" w:hAnsi="Century" w:cs="Arial"/>
        </w:rPr>
      </w:pPr>
      <w:r w:rsidRPr="008B46B5">
        <w:rPr>
          <w:rFonts w:ascii="Century" w:hAnsi="Century" w:cs="Arial"/>
        </w:rPr>
        <w:t>El o los Notarios Públicos actuantes elaborarán el acta notarial correspondiente, incluyendo las observaciones realizadas al desarrollo del acto de apertura, si las hubiera, por parte de los Representantes Legales de los Oferentes/ Proponentes. El acta notarial deberá estar acompañada de una fotocopia de todas las Ofertas presentadas. Dichas actas notariales estarán disponibles para los Representantes Legales de los Oferentes/Proponentes, quienes para obtenerlas deberán hacer llegar su solicitud a través de la Oficina de Acceso a la Información (</w:t>
      </w:r>
      <w:proofErr w:type="spellStart"/>
      <w:r w:rsidRPr="008B46B5">
        <w:rPr>
          <w:rFonts w:ascii="Century" w:hAnsi="Century" w:cs="Arial"/>
        </w:rPr>
        <w:t>OAI</w:t>
      </w:r>
      <w:proofErr w:type="spellEnd"/>
      <w:r w:rsidRPr="008B46B5">
        <w:rPr>
          <w:rFonts w:ascii="Century" w:hAnsi="Century" w:cs="Arial"/>
        </w:rPr>
        <w:t>).</w:t>
      </w:r>
    </w:p>
    <w:p w14:paraId="313C5555" w14:textId="77777777" w:rsidR="004945EA" w:rsidRPr="008B46B5" w:rsidRDefault="004945EA" w:rsidP="004945EA">
      <w:pPr>
        <w:pStyle w:val="Ttulo3"/>
        <w:rPr>
          <w:sz w:val="22"/>
          <w:szCs w:val="22"/>
        </w:rPr>
      </w:pPr>
      <w:bookmarkStart w:id="7" w:name="_Toc271530536"/>
      <w:bookmarkStart w:id="8" w:name="_Toc410128621"/>
      <w:r w:rsidRPr="008B46B5">
        <w:rPr>
          <w:sz w:val="22"/>
          <w:szCs w:val="22"/>
        </w:rPr>
        <w:t>Evaluación Oferta Económica</w:t>
      </w:r>
      <w:bookmarkEnd w:id="7"/>
      <w:bookmarkEnd w:id="8"/>
    </w:p>
    <w:p w14:paraId="72A2789D" w14:textId="77777777" w:rsidR="004945EA" w:rsidRPr="008B46B5" w:rsidRDefault="004945EA" w:rsidP="004945EA">
      <w:pPr>
        <w:rPr>
          <w:rFonts w:ascii="Century" w:hAnsi="Century" w:cs="Arial"/>
        </w:rPr>
      </w:pPr>
    </w:p>
    <w:p w14:paraId="5F5C5B2E" w14:textId="549FC194" w:rsidR="004945EA" w:rsidRPr="004945EA" w:rsidRDefault="004945EA" w:rsidP="004945EA">
      <w:pPr>
        <w:jc w:val="both"/>
        <w:rPr>
          <w:rFonts w:ascii="Century" w:hAnsi="Century" w:cs="Arial"/>
        </w:rPr>
      </w:pPr>
      <w:r w:rsidRPr="008B46B5">
        <w:rPr>
          <w:rFonts w:ascii="Century" w:hAnsi="Century" w:cs="Arial"/>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7522D45E" w14:textId="77777777" w:rsidR="004945EA" w:rsidRPr="008B46B5" w:rsidRDefault="004945EA" w:rsidP="004945EA">
      <w:pPr>
        <w:pStyle w:val="Ttulo3"/>
        <w:rPr>
          <w:sz w:val="22"/>
          <w:szCs w:val="22"/>
        </w:rPr>
      </w:pPr>
      <w:bookmarkStart w:id="9" w:name="_Toc410128624"/>
      <w:r w:rsidRPr="008B46B5">
        <w:rPr>
          <w:sz w:val="22"/>
          <w:szCs w:val="22"/>
        </w:rPr>
        <w:t>Criterios de Adjudicación</w:t>
      </w:r>
      <w:bookmarkEnd w:id="9"/>
    </w:p>
    <w:p w14:paraId="543A0020" w14:textId="77777777" w:rsidR="004945EA" w:rsidRPr="008B46B5" w:rsidRDefault="004945EA" w:rsidP="004945EA">
      <w:pPr>
        <w:rPr>
          <w:rFonts w:ascii="Century" w:hAnsi="Century"/>
        </w:rPr>
      </w:pPr>
    </w:p>
    <w:p w14:paraId="03CBC9AE" w14:textId="0FD226EE" w:rsidR="004945EA" w:rsidRPr="008B46B5" w:rsidRDefault="004945EA" w:rsidP="004945EA">
      <w:pPr>
        <w:jc w:val="both"/>
        <w:rPr>
          <w:rFonts w:ascii="Century" w:hAnsi="Century" w:cs="Arial"/>
        </w:rPr>
      </w:pPr>
      <w:r w:rsidRPr="008B46B5">
        <w:rPr>
          <w:rFonts w:ascii="Century" w:hAnsi="Century" w:cs="Arial"/>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2003E53B" w14:textId="0C2C3BFA" w:rsidR="004945EA" w:rsidRPr="008B46B5" w:rsidRDefault="004945EA" w:rsidP="004945EA">
      <w:pPr>
        <w:jc w:val="both"/>
        <w:rPr>
          <w:rFonts w:ascii="Century" w:hAnsi="Century" w:cs="Arial"/>
        </w:rPr>
      </w:pPr>
      <w:r w:rsidRPr="008B46B5">
        <w:rPr>
          <w:rFonts w:ascii="Century" w:hAnsi="Century" w:cs="Arial"/>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05B247E3" w14:textId="18058C30" w:rsidR="004945EA" w:rsidRPr="008B46B5" w:rsidRDefault="004945EA" w:rsidP="004945EA">
      <w:pPr>
        <w:jc w:val="both"/>
        <w:rPr>
          <w:rFonts w:ascii="Century" w:hAnsi="Century" w:cs="Arial"/>
        </w:rPr>
      </w:pPr>
      <w:r w:rsidRPr="008B46B5">
        <w:rPr>
          <w:rFonts w:ascii="Century" w:hAnsi="Century" w:cs="Arial"/>
        </w:rPr>
        <w:lastRenderedPageBreak/>
        <w:t>Si se presentase una sola Oferta, ella deberá ser considerada y se procederá a la Adjudicación, si habiendo cumplido con lo exigido en el Pliego de Condiciones Específicas, se le considera conveniente a los intereses de la Institución.</w:t>
      </w:r>
    </w:p>
    <w:p w14:paraId="237C71DC" w14:textId="77777777" w:rsidR="004945EA" w:rsidRPr="008B46B5" w:rsidRDefault="004945EA" w:rsidP="004945EA">
      <w:pPr>
        <w:pStyle w:val="Ttulo3"/>
        <w:rPr>
          <w:sz w:val="22"/>
          <w:szCs w:val="22"/>
        </w:rPr>
      </w:pPr>
      <w:bookmarkStart w:id="10" w:name="_Toc410128625"/>
      <w:r w:rsidRPr="008B46B5">
        <w:rPr>
          <w:sz w:val="22"/>
          <w:szCs w:val="22"/>
        </w:rPr>
        <w:t>Empate entre Oferentes</w:t>
      </w:r>
      <w:bookmarkEnd w:id="10"/>
    </w:p>
    <w:p w14:paraId="7828C6B5" w14:textId="77777777" w:rsidR="004945EA" w:rsidRPr="008B46B5" w:rsidRDefault="004945EA" w:rsidP="004945EA">
      <w:pPr>
        <w:rPr>
          <w:rFonts w:ascii="Century" w:hAnsi="Century" w:cs="Arial"/>
          <w:color w:val="0000FF"/>
        </w:rPr>
      </w:pPr>
    </w:p>
    <w:p w14:paraId="1693A427" w14:textId="27DFC0EA" w:rsidR="004945EA" w:rsidRPr="004945EA" w:rsidRDefault="004945EA" w:rsidP="004945EA">
      <w:pPr>
        <w:jc w:val="both"/>
        <w:rPr>
          <w:rFonts w:ascii="Century" w:hAnsi="Century" w:cs="Arial"/>
        </w:rPr>
      </w:pPr>
      <w:r w:rsidRPr="008B46B5">
        <w:rPr>
          <w:rFonts w:ascii="Century" w:hAnsi="Century" w:cs="Arial"/>
        </w:rPr>
        <w:t xml:space="preserve">En caso de empate entre dos o más Oferentes/Proponentes, se procederá </w:t>
      </w:r>
      <w:proofErr w:type="gramStart"/>
      <w:r w:rsidRPr="008B46B5">
        <w:rPr>
          <w:rFonts w:ascii="Century" w:hAnsi="Century" w:cs="Arial"/>
        </w:rPr>
        <w:t>de acuerdo al</w:t>
      </w:r>
      <w:proofErr w:type="gramEnd"/>
      <w:r w:rsidRPr="008B46B5">
        <w:rPr>
          <w:rFonts w:ascii="Century" w:hAnsi="Century" w:cs="Arial"/>
        </w:rPr>
        <w:t xml:space="preserve"> siguiente procedimiento:</w:t>
      </w:r>
    </w:p>
    <w:p w14:paraId="4BCAFD57" w14:textId="4DF8A2AE" w:rsidR="004945EA" w:rsidRPr="004945EA" w:rsidRDefault="004945EA" w:rsidP="004945EA">
      <w:pPr>
        <w:jc w:val="both"/>
        <w:rPr>
          <w:rFonts w:ascii="Century" w:hAnsi="Century" w:cs="Arial"/>
        </w:rPr>
      </w:pPr>
      <w:r w:rsidRPr="008B46B5">
        <w:rPr>
          <w:rFonts w:ascii="Century" w:hAnsi="Century" w:cs="Arial"/>
        </w:rPr>
        <w:t xml:space="preserve">El Comité de Compras y Contrataciones procederá por una elección al azar, en presencia de Notario Público y de los interesados, utilizando para tales fines el procedimiento de sorteo.  </w:t>
      </w:r>
    </w:p>
    <w:p w14:paraId="6DBA1F13" w14:textId="6520D02B" w:rsidR="004945EA" w:rsidRDefault="004945EA" w:rsidP="004945EA">
      <w:pPr>
        <w:pStyle w:val="Ttulo3"/>
        <w:rPr>
          <w:sz w:val="22"/>
          <w:szCs w:val="22"/>
        </w:rPr>
      </w:pPr>
      <w:bookmarkStart w:id="11" w:name="_Toc410128626"/>
      <w:r w:rsidRPr="008B46B5">
        <w:rPr>
          <w:sz w:val="22"/>
          <w:szCs w:val="22"/>
        </w:rPr>
        <w:t>Declaración de Desierto</w:t>
      </w:r>
      <w:bookmarkEnd w:id="11"/>
    </w:p>
    <w:p w14:paraId="36DEF3BD" w14:textId="77777777" w:rsidR="004945EA" w:rsidRPr="004945EA" w:rsidRDefault="004945EA" w:rsidP="004945EA">
      <w:pPr>
        <w:rPr>
          <w:lang w:eastAsia="es-ES"/>
        </w:rPr>
      </w:pPr>
    </w:p>
    <w:p w14:paraId="18470EFF" w14:textId="77777777" w:rsidR="004945EA" w:rsidRPr="008B46B5" w:rsidRDefault="004945EA" w:rsidP="004945EA">
      <w:pPr>
        <w:jc w:val="both"/>
        <w:rPr>
          <w:rFonts w:ascii="Century" w:hAnsi="Century" w:cs="Arial"/>
        </w:rPr>
      </w:pPr>
      <w:r w:rsidRPr="008B46B5">
        <w:rPr>
          <w:rFonts w:ascii="Century" w:hAnsi="Century" w:cs="Arial"/>
        </w:rPr>
        <w:t>El Comité de Compras y Contrataciones podrá declarar desierto el procedimiento, total o parcialmente, en los siguientes casos:</w:t>
      </w:r>
    </w:p>
    <w:p w14:paraId="7917001C" w14:textId="77777777" w:rsidR="004945EA" w:rsidRPr="008B46B5" w:rsidRDefault="004945EA" w:rsidP="004945EA">
      <w:pPr>
        <w:rPr>
          <w:rFonts w:ascii="Century" w:hAnsi="Century" w:cs="Arial"/>
        </w:rPr>
      </w:pPr>
    </w:p>
    <w:p w14:paraId="026C2A36" w14:textId="77777777" w:rsidR="004945EA" w:rsidRPr="008B46B5" w:rsidRDefault="004945EA" w:rsidP="004945EA">
      <w:pPr>
        <w:numPr>
          <w:ilvl w:val="0"/>
          <w:numId w:val="8"/>
        </w:numPr>
        <w:spacing w:after="0" w:line="240" w:lineRule="auto"/>
        <w:jc w:val="both"/>
        <w:rPr>
          <w:rFonts w:ascii="Century" w:hAnsi="Century" w:cs="Arial"/>
        </w:rPr>
      </w:pPr>
      <w:r w:rsidRPr="008B46B5">
        <w:rPr>
          <w:rFonts w:ascii="Century" w:hAnsi="Century" w:cs="Arial"/>
        </w:rPr>
        <w:t>Por no haberse presentado Ofertas.</w:t>
      </w:r>
    </w:p>
    <w:p w14:paraId="0A9C0CCC" w14:textId="77777777" w:rsidR="004945EA" w:rsidRPr="008B46B5" w:rsidRDefault="004945EA" w:rsidP="004945EA">
      <w:pPr>
        <w:numPr>
          <w:ilvl w:val="0"/>
          <w:numId w:val="8"/>
        </w:numPr>
        <w:spacing w:after="0" w:line="240" w:lineRule="auto"/>
        <w:jc w:val="both"/>
        <w:rPr>
          <w:rFonts w:ascii="Century" w:hAnsi="Century" w:cs="Arial"/>
        </w:rPr>
      </w:pPr>
      <w:r w:rsidRPr="008B46B5">
        <w:rPr>
          <w:rFonts w:ascii="Century" w:hAnsi="Century" w:cs="Arial"/>
        </w:rPr>
        <w:t>Por haberse rechazado, descalificado, o porque son inconvenientes para los intereses nacionales o institucionales todas las Ofertas o la única presentada.</w:t>
      </w:r>
    </w:p>
    <w:p w14:paraId="1FA3A3EA" w14:textId="77777777" w:rsidR="004945EA" w:rsidRPr="008B46B5" w:rsidRDefault="004945EA" w:rsidP="004945EA">
      <w:pPr>
        <w:widowControl w:val="0"/>
        <w:autoSpaceDE w:val="0"/>
        <w:autoSpaceDN w:val="0"/>
        <w:adjustRightInd w:val="0"/>
        <w:jc w:val="both"/>
        <w:rPr>
          <w:rFonts w:ascii="Century" w:hAnsi="Century" w:cs="Arial"/>
        </w:rPr>
      </w:pPr>
      <w:bookmarkStart w:id="12" w:name="_Toc271530571"/>
    </w:p>
    <w:p w14:paraId="567D1894" w14:textId="147876F0" w:rsidR="004945EA" w:rsidRPr="008B46B5" w:rsidRDefault="004945EA" w:rsidP="004945EA">
      <w:pPr>
        <w:widowControl w:val="0"/>
        <w:autoSpaceDE w:val="0"/>
        <w:autoSpaceDN w:val="0"/>
        <w:adjustRightInd w:val="0"/>
        <w:jc w:val="both"/>
        <w:rPr>
          <w:rFonts w:ascii="Century" w:hAnsi="Century" w:cs="Arial"/>
        </w:rPr>
      </w:pPr>
      <w:r w:rsidRPr="008B46B5">
        <w:rPr>
          <w:rFonts w:ascii="Century" w:hAnsi="Century" w:cs="Arial"/>
        </w:rPr>
        <w:t>En la Declaratoria de Desierto, la Entidad Contratante podrá reabrirlo dando un plazo para la presentación de Propuestas de hasta un cincuenta por ciento (50%) del plazo del proceso fallido.</w:t>
      </w:r>
    </w:p>
    <w:p w14:paraId="1824D4F6" w14:textId="77777777" w:rsidR="004945EA" w:rsidRPr="008B46B5" w:rsidRDefault="004945EA" w:rsidP="004945EA">
      <w:pPr>
        <w:pStyle w:val="Ttulo3"/>
        <w:rPr>
          <w:sz w:val="22"/>
          <w:szCs w:val="22"/>
        </w:rPr>
      </w:pPr>
      <w:bookmarkStart w:id="13" w:name="_Toc271530540"/>
      <w:bookmarkStart w:id="14" w:name="_Toc410128627"/>
      <w:bookmarkEnd w:id="12"/>
      <w:r w:rsidRPr="008B46B5">
        <w:rPr>
          <w:sz w:val="22"/>
          <w:szCs w:val="22"/>
        </w:rPr>
        <w:t>Acuerdo de Adjudicación</w:t>
      </w:r>
      <w:bookmarkEnd w:id="13"/>
      <w:bookmarkEnd w:id="14"/>
    </w:p>
    <w:p w14:paraId="580AAA1F" w14:textId="77777777" w:rsidR="004945EA" w:rsidRPr="008B46B5" w:rsidRDefault="004945EA" w:rsidP="004945EA">
      <w:pPr>
        <w:rPr>
          <w:rFonts w:ascii="Century" w:hAnsi="Century"/>
        </w:rPr>
      </w:pPr>
    </w:p>
    <w:p w14:paraId="2C2D4F6A" w14:textId="77777777" w:rsidR="004945EA" w:rsidRPr="008B46B5" w:rsidRDefault="004945EA" w:rsidP="004945EA">
      <w:pPr>
        <w:tabs>
          <w:tab w:val="left" w:pos="1452"/>
        </w:tabs>
        <w:jc w:val="both"/>
        <w:rPr>
          <w:rFonts w:ascii="Century" w:hAnsi="Century" w:cs="Arial"/>
        </w:rPr>
      </w:pPr>
      <w:r w:rsidRPr="008B46B5">
        <w:rPr>
          <w:rFonts w:ascii="Century" w:hAnsi="Century" w:cs="Arial"/>
        </w:rPr>
        <w:t>El Comité de Compras y Contrataciones luego del proceso de verificación y validación del informe de recomendación de Adjudicación, conoce las incidencias y si procede, aprueban el mismo y emiten el acta contentiva de la Resolución de Adjudicación.</w:t>
      </w:r>
    </w:p>
    <w:p w14:paraId="614C5B6A" w14:textId="77777777" w:rsidR="004945EA" w:rsidRPr="008B46B5" w:rsidRDefault="004945EA" w:rsidP="004945EA">
      <w:pPr>
        <w:tabs>
          <w:tab w:val="left" w:pos="1452"/>
        </w:tabs>
        <w:jc w:val="both"/>
        <w:rPr>
          <w:rFonts w:ascii="Century" w:hAnsi="Century" w:cs="Arial"/>
        </w:rPr>
      </w:pPr>
      <w:r w:rsidRPr="008B46B5">
        <w:rPr>
          <w:rFonts w:ascii="Century" w:hAnsi="Century" w:cs="Arial"/>
        </w:rPr>
        <w:t xml:space="preserve">Ordena a la Unidad Operativa de Compras y Contrataciones la Notificación de la Adjudicación y sus anexos a todos los Oferentes participantes, conforme al procedimiento y plazo establecido en el Cronograma de Actividades del Pliego de Condiciones Específicas.  </w:t>
      </w:r>
    </w:p>
    <w:p w14:paraId="495BDD68" w14:textId="77777777" w:rsidR="004945EA" w:rsidRPr="008B46B5" w:rsidRDefault="004945EA" w:rsidP="004945EA">
      <w:pPr>
        <w:rPr>
          <w:rFonts w:ascii="Century" w:hAnsi="Century" w:cs="Times New Roman"/>
        </w:rPr>
      </w:pPr>
    </w:p>
    <w:p w14:paraId="6449A7D6" w14:textId="77777777" w:rsidR="004945EA" w:rsidRPr="008B46B5" w:rsidRDefault="004945EA" w:rsidP="004945EA">
      <w:pPr>
        <w:spacing w:after="0"/>
        <w:rPr>
          <w:rFonts w:ascii="Century" w:hAnsi="Century" w:cs="Times New Roman"/>
        </w:rPr>
      </w:pPr>
    </w:p>
    <w:p w14:paraId="6111726B" w14:textId="22357743" w:rsidR="007D2174" w:rsidRDefault="007D2174" w:rsidP="004C31E7">
      <w:pPr>
        <w:rPr>
          <w:rFonts w:ascii="Times New Roman" w:eastAsia="Times New Roman" w:hAnsi="Times New Roman" w:cs="Times New Roman"/>
          <w:sz w:val="24"/>
          <w:szCs w:val="24"/>
          <w:lang w:val="es-CO" w:eastAsia="es-ES"/>
        </w:rPr>
      </w:pPr>
    </w:p>
    <w:p w14:paraId="782D1403" w14:textId="7465ACA6" w:rsidR="003647CC" w:rsidRPr="003647CC" w:rsidRDefault="003647CC" w:rsidP="003647CC">
      <w:pPr>
        <w:tabs>
          <w:tab w:val="left" w:pos="5580"/>
        </w:tabs>
      </w:pPr>
      <w:r>
        <w:tab/>
      </w:r>
    </w:p>
    <w:sectPr w:rsidR="003647CC" w:rsidRPr="003647CC" w:rsidSect="00A64B57">
      <w:headerReference w:type="default" r:id="rId9"/>
      <w:footerReference w:type="default" r:id="rId10"/>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5E567" w14:textId="77777777" w:rsidR="00953976" w:rsidRDefault="00953976" w:rsidP="00A64B57">
      <w:pPr>
        <w:spacing w:after="0" w:line="240" w:lineRule="auto"/>
      </w:pPr>
      <w:r>
        <w:separator/>
      </w:r>
    </w:p>
  </w:endnote>
  <w:endnote w:type="continuationSeparator" w:id="0">
    <w:p w14:paraId="07965D95" w14:textId="77777777" w:rsidR="00953976" w:rsidRDefault="00953976" w:rsidP="00A64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CC2A7" w14:textId="77777777" w:rsidR="00A64B57" w:rsidRPr="00F769EB" w:rsidRDefault="00A64B57" w:rsidP="00A64B57">
    <w:pPr>
      <w:spacing w:after="0" w:line="240" w:lineRule="auto"/>
      <w:jc w:val="center"/>
      <w:rPr>
        <w:sz w:val="18"/>
        <w:szCs w:val="18"/>
      </w:rPr>
    </w:pPr>
    <w:r w:rsidRPr="00F769EB">
      <w:rPr>
        <w:sz w:val="18"/>
        <w:szCs w:val="18"/>
      </w:rPr>
      <w:t>Calle Federico Velázquez No.1, María Auxiliadora, Santo Domingo, D.N.</w:t>
    </w:r>
    <w:r w:rsidR="00F769EB" w:rsidRPr="00F769EB">
      <w:rPr>
        <w:sz w:val="18"/>
        <w:szCs w:val="18"/>
      </w:rPr>
      <w:t>, Rep.</w:t>
    </w:r>
    <w:r w:rsidR="004001B5">
      <w:rPr>
        <w:sz w:val="18"/>
        <w:szCs w:val="18"/>
      </w:rPr>
      <w:t xml:space="preserve"> </w:t>
    </w:r>
    <w:r w:rsidR="00F769EB" w:rsidRPr="00F769EB">
      <w:rPr>
        <w:sz w:val="18"/>
        <w:szCs w:val="18"/>
      </w:rPr>
      <w:t>Dom.,</w:t>
    </w:r>
    <w:r w:rsidRPr="00F769EB">
      <w:rPr>
        <w:sz w:val="18"/>
        <w:szCs w:val="18"/>
      </w:rPr>
      <w:t xml:space="preserve"> Tel.809-681-0080</w:t>
    </w:r>
    <w:r w:rsidR="00F769EB" w:rsidRPr="00F769EB">
      <w:rPr>
        <w:sz w:val="18"/>
        <w:szCs w:val="18"/>
      </w:rPr>
      <w:t xml:space="preserve"> / Fax.809-681-5580</w:t>
    </w:r>
  </w:p>
  <w:p w14:paraId="5904860A" w14:textId="77777777" w:rsidR="00A64B57" w:rsidRPr="00F769EB" w:rsidRDefault="00A64B57" w:rsidP="00A64B57">
    <w:pPr>
      <w:spacing w:after="0" w:line="240" w:lineRule="auto"/>
      <w:jc w:val="center"/>
      <w:rPr>
        <w:sz w:val="18"/>
        <w:szCs w:val="18"/>
        <w:lang w:val="en-US"/>
      </w:rPr>
    </w:pPr>
    <w:r w:rsidRPr="00F769EB">
      <w:rPr>
        <w:sz w:val="18"/>
        <w:szCs w:val="18"/>
        <w:lang w:val="en-US"/>
      </w:rPr>
      <w:t xml:space="preserve">Website: </w:t>
    </w:r>
    <w:hyperlink r:id="rId1" w:history="1">
      <w:r w:rsidRPr="00F769EB">
        <w:rPr>
          <w:rStyle w:val="Hipervnculo"/>
          <w:sz w:val="18"/>
          <w:szCs w:val="18"/>
          <w:lang w:val="en-US"/>
        </w:rPr>
        <w:t>www.cecanot.com.do</w:t>
      </w:r>
    </w:hyperlink>
    <w:r w:rsidRPr="00F769EB">
      <w:rPr>
        <w:sz w:val="18"/>
        <w:szCs w:val="18"/>
        <w:lang w:val="en-US"/>
      </w:rPr>
      <w:t xml:space="preserve"> / E-Mail: administrador@cecanot.com.do</w:t>
    </w:r>
  </w:p>
  <w:p w14:paraId="1D9713C3" w14:textId="77777777" w:rsidR="00A64B57" w:rsidRPr="00A64B57" w:rsidRDefault="00A64B57" w:rsidP="00A64B5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52AC8" w14:textId="77777777" w:rsidR="00953976" w:rsidRDefault="00953976" w:rsidP="00A64B57">
      <w:pPr>
        <w:spacing w:after="0" w:line="240" w:lineRule="auto"/>
      </w:pPr>
      <w:r>
        <w:separator/>
      </w:r>
    </w:p>
  </w:footnote>
  <w:footnote w:type="continuationSeparator" w:id="0">
    <w:p w14:paraId="71F893DD" w14:textId="77777777" w:rsidR="00953976" w:rsidRDefault="00953976" w:rsidP="00A64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4A5C5" w14:textId="77777777" w:rsidR="007D558A" w:rsidRDefault="007D558A" w:rsidP="007D558A">
    <w:pPr>
      <w:pStyle w:val="Encabezado"/>
    </w:pPr>
    <w:r>
      <w:rPr>
        <w:noProof/>
        <w:lang w:val="en-US"/>
      </w:rPr>
      <w:drawing>
        <wp:anchor distT="0" distB="0" distL="114300" distR="114300" simplePos="0" relativeHeight="251660288" behindDoc="0" locked="0" layoutInCell="1" allowOverlap="1" wp14:anchorId="59954A37" wp14:editId="4F4D0FFF">
          <wp:simplePos x="0" y="0"/>
          <wp:positionH relativeFrom="column">
            <wp:posOffset>5639435</wp:posOffset>
          </wp:positionH>
          <wp:positionV relativeFrom="paragraph">
            <wp:posOffset>-316230</wp:posOffset>
          </wp:positionV>
          <wp:extent cx="775970" cy="831215"/>
          <wp:effectExtent l="0" t="0" r="5080" b="6985"/>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775970" cy="83121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9264" behindDoc="1" locked="0" layoutInCell="1" allowOverlap="1" wp14:anchorId="5A6B98AE" wp14:editId="6CCD2C64">
          <wp:simplePos x="0" y="0"/>
          <wp:positionH relativeFrom="page">
            <wp:align>left</wp:align>
          </wp:positionH>
          <wp:positionV relativeFrom="paragraph">
            <wp:posOffset>-454660</wp:posOffset>
          </wp:positionV>
          <wp:extent cx="2884170" cy="1082040"/>
          <wp:effectExtent l="0" t="0" r="0" b="381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2">
                    <a:extLst>
                      <a:ext uri="{28A0092B-C50C-407E-A947-70E740481C1C}">
                        <a14:useLocalDpi xmlns:a14="http://schemas.microsoft.com/office/drawing/2010/main" val="0"/>
                      </a:ext>
                    </a:extLst>
                  </a:blip>
                  <a:srcRect r="44281" b="83838"/>
                  <a:stretch/>
                </pic:blipFill>
                <pic:spPr bwMode="auto">
                  <a:xfrm>
                    <a:off x="0" y="0"/>
                    <a:ext cx="2884170" cy="1082040"/>
                  </a:xfrm>
                  <a:prstGeom prst="rect">
                    <a:avLst/>
                  </a:prstGeom>
                  <a:noFill/>
                  <a:ln>
                    <a:noFill/>
                  </a:ln>
                  <a:extLst>
                    <a:ext uri="{53640926-AAD7-44D8-BBD7-CCE9431645EC}">
                      <a14:shadowObscured xmlns:a14="http://schemas.microsoft.com/office/drawing/2010/main"/>
                    </a:ext>
                  </a:extLst>
                </pic:spPr>
              </pic:pic>
            </a:graphicData>
          </a:graphic>
        </wp:anchor>
      </w:drawing>
    </w:r>
  </w:p>
  <w:p w14:paraId="35F853B4" w14:textId="77777777" w:rsidR="007D558A" w:rsidRDefault="007D558A" w:rsidP="007D558A">
    <w:pPr>
      <w:pStyle w:val="Encabezado"/>
    </w:pPr>
  </w:p>
  <w:p w14:paraId="12AFF1C4" w14:textId="77777777" w:rsidR="007D558A" w:rsidRPr="0023567C" w:rsidRDefault="007D558A" w:rsidP="007D558A">
    <w:pPr>
      <w:pStyle w:val="Encabezado"/>
      <w:rPr>
        <w:lang w:val="es-DO"/>
      </w:rPr>
    </w:pPr>
    <w:r w:rsidRPr="0023567C">
      <w:rPr>
        <w:lang w:val="es-DO"/>
      </w:rPr>
      <w:t xml:space="preserve">                                                  </w:t>
    </w:r>
  </w:p>
  <w:p w14:paraId="02DAA9B9" w14:textId="77777777" w:rsidR="007D558A" w:rsidRDefault="007D558A" w:rsidP="007D558A">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19ADD68E" w14:textId="77777777" w:rsidR="007D558A" w:rsidRPr="0023567C" w:rsidRDefault="007D558A" w:rsidP="007D558A">
    <w:pPr>
      <w:pStyle w:val="msonospacing0"/>
      <w:ind w:left="2832"/>
      <w:rPr>
        <w:lang w:val="es-DO"/>
      </w:rPr>
    </w:pPr>
    <w:r w:rsidRPr="0023567C">
      <w:rPr>
        <w:lang w:val="es-DO"/>
      </w:rPr>
      <w:t>Ciudad Sanitaria Dr. Luís E. Aybar</w:t>
    </w:r>
  </w:p>
  <w:p w14:paraId="3D0CCFD8" w14:textId="77777777" w:rsidR="007D558A" w:rsidRPr="0023567C" w:rsidRDefault="007D558A" w:rsidP="007D558A">
    <w:pPr>
      <w:pStyle w:val="msonospacing0"/>
      <w:rPr>
        <w:lang w:val="es-DO"/>
      </w:rPr>
    </w:pPr>
    <w:r>
      <w:rPr>
        <w:color w:val="800080"/>
        <w:lang w:val="es-DO"/>
      </w:rPr>
      <w:t xml:space="preserve">                                                                        </w:t>
    </w:r>
    <w:r w:rsidRPr="0023567C">
      <w:rPr>
        <w:lang w:val="es-DO"/>
      </w:rPr>
      <w:t>RNC  4-3006345-2</w:t>
    </w:r>
  </w:p>
  <w:p w14:paraId="2F8E5C2C" w14:textId="31245271" w:rsidR="007D558A" w:rsidRPr="0023567C" w:rsidRDefault="007D558A" w:rsidP="007D558A">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sidR="00283228">
      <w:rPr>
        <w:rFonts w:ascii="Calibri" w:eastAsia="Calibri" w:hAnsi="Calibri" w:cs="Times New Roman"/>
        <w:b/>
        <w:lang w:val="es-DO"/>
      </w:rPr>
      <w:t>ño de la consolidación de la Seguridad Alimentaria</w:t>
    </w:r>
    <w:r>
      <w:rPr>
        <w:rFonts w:ascii="Calibri" w:eastAsia="Calibri" w:hAnsi="Calibri" w:cs="Times New Roman"/>
        <w:b/>
        <w:lang w:val="es-DO"/>
      </w:rPr>
      <w:t>”</w:t>
    </w:r>
  </w:p>
  <w:p w14:paraId="0372E180" w14:textId="77777777" w:rsidR="00ED7BF2" w:rsidRPr="00ED7BF2" w:rsidRDefault="00ED7BF2" w:rsidP="00ED7BF2">
    <w:pPr>
      <w:pStyle w:val="Encabezado"/>
      <w:jc w:val="center"/>
      <w:rPr>
        <w:b/>
        <w:sz w:val="28"/>
        <w:szCs w:val="28"/>
      </w:rPr>
    </w:pPr>
  </w:p>
  <w:p w14:paraId="694192FC" w14:textId="77777777" w:rsidR="00A64B57" w:rsidRDefault="00B8524A" w:rsidP="00B8524A">
    <w:pPr>
      <w:pStyle w:val="Encabezado"/>
      <w:ind w:left="1416"/>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388E"/>
    <w:multiLevelType w:val="hybridMultilevel"/>
    <w:tmpl w:val="C22A7E5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FF01B5"/>
    <w:multiLevelType w:val="hybridMultilevel"/>
    <w:tmpl w:val="432699E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79564B6"/>
    <w:multiLevelType w:val="hybridMultilevel"/>
    <w:tmpl w:val="D3CA67F0"/>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366C35"/>
    <w:multiLevelType w:val="hybridMultilevel"/>
    <w:tmpl w:val="275674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B5A44"/>
    <w:multiLevelType w:val="hybridMultilevel"/>
    <w:tmpl w:val="010EE1AC"/>
    <w:lvl w:ilvl="0" w:tplc="0409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56586E"/>
    <w:multiLevelType w:val="hybridMultilevel"/>
    <w:tmpl w:val="5F2CA2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C12D5"/>
    <w:multiLevelType w:val="hybridMultilevel"/>
    <w:tmpl w:val="25DCAC56"/>
    <w:lvl w:ilvl="0" w:tplc="0409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24A"/>
    <w:rsid w:val="000206A4"/>
    <w:rsid w:val="0003447B"/>
    <w:rsid w:val="000360F8"/>
    <w:rsid w:val="00046F26"/>
    <w:rsid w:val="00050476"/>
    <w:rsid w:val="00050DE1"/>
    <w:rsid w:val="000571C6"/>
    <w:rsid w:val="000869E7"/>
    <w:rsid w:val="00087EFD"/>
    <w:rsid w:val="00090020"/>
    <w:rsid w:val="000939B7"/>
    <w:rsid w:val="000943FE"/>
    <w:rsid w:val="000962D2"/>
    <w:rsid w:val="000C3DA9"/>
    <w:rsid w:val="00107F22"/>
    <w:rsid w:val="001170D3"/>
    <w:rsid w:val="001265C3"/>
    <w:rsid w:val="00162947"/>
    <w:rsid w:val="00172816"/>
    <w:rsid w:val="00184C93"/>
    <w:rsid w:val="00195A1F"/>
    <w:rsid w:val="001B0B89"/>
    <w:rsid w:val="001E6089"/>
    <w:rsid w:val="00233D0A"/>
    <w:rsid w:val="002614D2"/>
    <w:rsid w:val="00276531"/>
    <w:rsid w:val="00283228"/>
    <w:rsid w:val="002907B4"/>
    <w:rsid w:val="002B00B5"/>
    <w:rsid w:val="002D10D7"/>
    <w:rsid w:val="002D5836"/>
    <w:rsid w:val="002D6459"/>
    <w:rsid w:val="002D67CB"/>
    <w:rsid w:val="002E4272"/>
    <w:rsid w:val="002E67E7"/>
    <w:rsid w:val="002F0471"/>
    <w:rsid w:val="002F17D6"/>
    <w:rsid w:val="002F3F01"/>
    <w:rsid w:val="00332EF1"/>
    <w:rsid w:val="00354D1B"/>
    <w:rsid w:val="003647CC"/>
    <w:rsid w:val="003968F2"/>
    <w:rsid w:val="003B4DD7"/>
    <w:rsid w:val="003D74E6"/>
    <w:rsid w:val="003E1EC4"/>
    <w:rsid w:val="003E314A"/>
    <w:rsid w:val="003F2979"/>
    <w:rsid w:val="004001B5"/>
    <w:rsid w:val="00464C97"/>
    <w:rsid w:val="004811B7"/>
    <w:rsid w:val="00482F64"/>
    <w:rsid w:val="004936C7"/>
    <w:rsid w:val="004945EA"/>
    <w:rsid w:val="004A2E59"/>
    <w:rsid w:val="004B766F"/>
    <w:rsid w:val="004B7A31"/>
    <w:rsid w:val="004B7BCA"/>
    <w:rsid w:val="004C0E9F"/>
    <w:rsid w:val="004C2898"/>
    <w:rsid w:val="004C31E7"/>
    <w:rsid w:val="004E0629"/>
    <w:rsid w:val="004E3B31"/>
    <w:rsid w:val="004E498F"/>
    <w:rsid w:val="005150A4"/>
    <w:rsid w:val="0052391B"/>
    <w:rsid w:val="005344AE"/>
    <w:rsid w:val="00536432"/>
    <w:rsid w:val="00550B98"/>
    <w:rsid w:val="005576DB"/>
    <w:rsid w:val="0057312F"/>
    <w:rsid w:val="00575B62"/>
    <w:rsid w:val="0057748F"/>
    <w:rsid w:val="005A0DEF"/>
    <w:rsid w:val="005E74B8"/>
    <w:rsid w:val="005F077D"/>
    <w:rsid w:val="00601115"/>
    <w:rsid w:val="00603041"/>
    <w:rsid w:val="006233A6"/>
    <w:rsid w:val="0063393D"/>
    <w:rsid w:val="006606A0"/>
    <w:rsid w:val="006A6C53"/>
    <w:rsid w:val="006F5516"/>
    <w:rsid w:val="00704D43"/>
    <w:rsid w:val="00705BAA"/>
    <w:rsid w:val="007060E3"/>
    <w:rsid w:val="00716F06"/>
    <w:rsid w:val="00740ECD"/>
    <w:rsid w:val="007438DF"/>
    <w:rsid w:val="007476D2"/>
    <w:rsid w:val="007C61DD"/>
    <w:rsid w:val="007D2174"/>
    <w:rsid w:val="007D558A"/>
    <w:rsid w:val="007E5201"/>
    <w:rsid w:val="007E561A"/>
    <w:rsid w:val="007F23EC"/>
    <w:rsid w:val="007F2695"/>
    <w:rsid w:val="007F585C"/>
    <w:rsid w:val="008106B9"/>
    <w:rsid w:val="00811E00"/>
    <w:rsid w:val="00840B89"/>
    <w:rsid w:val="00854198"/>
    <w:rsid w:val="00867071"/>
    <w:rsid w:val="00886686"/>
    <w:rsid w:val="008A627F"/>
    <w:rsid w:val="008B36CF"/>
    <w:rsid w:val="008D1FE3"/>
    <w:rsid w:val="008E10E5"/>
    <w:rsid w:val="0090295F"/>
    <w:rsid w:val="00905E67"/>
    <w:rsid w:val="00914EF4"/>
    <w:rsid w:val="00935E97"/>
    <w:rsid w:val="00953976"/>
    <w:rsid w:val="00963019"/>
    <w:rsid w:val="00970E64"/>
    <w:rsid w:val="00977A07"/>
    <w:rsid w:val="009F7E04"/>
    <w:rsid w:val="00A1193F"/>
    <w:rsid w:val="00A2143F"/>
    <w:rsid w:val="00A23286"/>
    <w:rsid w:val="00A2490A"/>
    <w:rsid w:val="00A27372"/>
    <w:rsid w:val="00A37A1B"/>
    <w:rsid w:val="00A64B57"/>
    <w:rsid w:val="00A91B06"/>
    <w:rsid w:val="00AA494B"/>
    <w:rsid w:val="00AB7C14"/>
    <w:rsid w:val="00AE4099"/>
    <w:rsid w:val="00AE4B37"/>
    <w:rsid w:val="00AE62C8"/>
    <w:rsid w:val="00B0759C"/>
    <w:rsid w:val="00B225EE"/>
    <w:rsid w:val="00B235C6"/>
    <w:rsid w:val="00B36C0C"/>
    <w:rsid w:val="00B8524A"/>
    <w:rsid w:val="00B91FD1"/>
    <w:rsid w:val="00BB3E7B"/>
    <w:rsid w:val="00BB60F5"/>
    <w:rsid w:val="00BC5C49"/>
    <w:rsid w:val="00BD4604"/>
    <w:rsid w:val="00BE62E5"/>
    <w:rsid w:val="00C02F2A"/>
    <w:rsid w:val="00C131F1"/>
    <w:rsid w:val="00C56F2D"/>
    <w:rsid w:val="00C77EA8"/>
    <w:rsid w:val="00C92284"/>
    <w:rsid w:val="00CC61DE"/>
    <w:rsid w:val="00CC66BC"/>
    <w:rsid w:val="00CD263D"/>
    <w:rsid w:val="00CE538B"/>
    <w:rsid w:val="00D22417"/>
    <w:rsid w:val="00D55139"/>
    <w:rsid w:val="00D60ED0"/>
    <w:rsid w:val="00D73153"/>
    <w:rsid w:val="00D94549"/>
    <w:rsid w:val="00DF64B1"/>
    <w:rsid w:val="00E01FF6"/>
    <w:rsid w:val="00E02DD1"/>
    <w:rsid w:val="00E0452A"/>
    <w:rsid w:val="00E4214B"/>
    <w:rsid w:val="00E711DE"/>
    <w:rsid w:val="00E72BAA"/>
    <w:rsid w:val="00E85416"/>
    <w:rsid w:val="00E860C9"/>
    <w:rsid w:val="00E90DCF"/>
    <w:rsid w:val="00E97806"/>
    <w:rsid w:val="00EC12DD"/>
    <w:rsid w:val="00ED3FE2"/>
    <w:rsid w:val="00ED781B"/>
    <w:rsid w:val="00ED7BF2"/>
    <w:rsid w:val="00EE3F50"/>
    <w:rsid w:val="00F2097E"/>
    <w:rsid w:val="00F33864"/>
    <w:rsid w:val="00F44FE0"/>
    <w:rsid w:val="00F51065"/>
    <w:rsid w:val="00F5144D"/>
    <w:rsid w:val="00F769EB"/>
    <w:rsid w:val="00F90E47"/>
    <w:rsid w:val="00FA4A6D"/>
    <w:rsid w:val="00FB490C"/>
    <w:rsid w:val="00FB7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E8C65D"/>
  <w15:docId w15:val="{E11A7AF3-2BDD-4F1E-A2F4-69B5F20E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C7"/>
  </w:style>
  <w:style w:type="paragraph" w:styleId="Ttulo3">
    <w:name w:val="heading 3"/>
    <w:basedOn w:val="Normal"/>
    <w:next w:val="Normal"/>
    <w:link w:val="Ttulo3Car"/>
    <w:autoRedefine/>
    <w:qFormat/>
    <w:rsid w:val="004945EA"/>
    <w:pPr>
      <w:keepNext/>
      <w:tabs>
        <w:tab w:val="left" w:pos="7920"/>
        <w:tab w:val="left" w:pos="9895"/>
      </w:tabs>
      <w:autoSpaceDE w:val="0"/>
      <w:autoSpaceDN w:val="0"/>
      <w:adjustRightInd w:val="0"/>
      <w:spacing w:after="0" w:line="240" w:lineRule="auto"/>
      <w:jc w:val="both"/>
      <w:outlineLvl w:val="2"/>
    </w:pPr>
    <w:rPr>
      <w:rFonts w:ascii="Century" w:eastAsia="Times New Roman" w:hAnsi="Century"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64B5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A64B57"/>
  </w:style>
  <w:style w:type="paragraph" w:styleId="Piedepgina">
    <w:name w:val="footer"/>
    <w:basedOn w:val="Normal"/>
    <w:link w:val="PiedepginaCar"/>
    <w:uiPriority w:val="99"/>
    <w:unhideWhenUsed/>
    <w:rsid w:val="00A64B5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A64B57"/>
  </w:style>
  <w:style w:type="paragraph" w:styleId="Textodeglobo">
    <w:name w:val="Balloon Text"/>
    <w:basedOn w:val="Normal"/>
    <w:link w:val="TextodegloboCar"/>
    <w:uiPriority w:val="99"/>
    <w:semiHidden/>
    <w:unhideWhenUsed/>
    <w:rsid w:val="00A64B5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4B57"/>
    <w:rPr>
      <w:rFonts w:ascii="Tahoma" w:hAnsi="Tahoma" w:cs="Tahoma"/>
      <w:sz w:val="16"/>
      <w:szCs w:val="16"/>
    </w:rPr>
  </w:style>
  <w:style w:type="paragraph" w:customStyle="1" w:styleId="msonospacing0">
    <w:name w:val="msonospacing"/>
    <w:rsid w:val="00A64B57"/>
    <w:pPr>
      <w:spacing w:after="0" w:line="240" w:lineRule="auto"/>
    </w:pPr>
    <w:rPr>
      <w:rFonts w:ascii="Calibri" w:eastAsia="Calibri" w:hAnsi="Calibri" w:cs="Times New Roman"/>
    </w:rPr>
  </w:style>
  <w:style w:type="character" w:styleId="Hipervnculo">
    <w:name w:val="Hyperlink"/>
    <w:basedOn w:val="Fuentedeprrafopredeter"/>
    <w:uiPriority w:val="99"/>
    <w:unhideWhenUsed/>
    <w:rsid w:val="00A64B57"/>
    <w:rPr>
      <w:color w:val="0000FF" w:themeColor="hyperlink"/>
      <w:u w:val="single"/>
    </w:rPr>
  </w:style>
  <w:style w:type="paragraph" w:styleId="Sinespaciado">
    <w:name w:val="No Spacing"/>
    <w:uiPriority w:val="1"/>
    <w:qFormat/>
    <w:rsid w:val="00ED7BF2"/>
    <w:pPr>
      <w:spacing w:after="0" w:line="240" w:lineRule="auto"/>
    </w:pPr>
  </w:style>
  <w:style w:type="paragraph" w:styleId="Prrafodelista">
    <w:name w:val="List Paragraph"/>
    <w:basedOn w:val="Normal"/>
    <w:uiPriority w:val="34"/>
    <w:qFormat/>
    <w:rsid w:val="002D10D7"/>
    <w:pPr>
      <w:ind w:left="720"/>
      <w:contextualSpacing/>
    </w:pPr>
  </w:style>
  <w:style w:type="character" w:styleId="nfasis">
    <w:name w:val="Emphasis"/>
    <w:basedOn w:val="Fuentedeprrafopredeter"/>
    <w:uiPriority w:val="20"/>
    <w:qFormat/>
    <w:rsid w:val="005576DB"/>
    <w:rPr>
      <w:i/>
      <w:iCs/>
    </w:rPr>
  </w:style>
  <w:style w:type="table" w:styleId="Tablaconcuadrcula">
    <w:name w:val="Table Grid"/>
    <w:basedOn w:val="Tablanormal"/>
    <w:uiPriority w:val="59"/>
    <w:rsid w:val="002F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438DF"/>
    <w:rPr>
      <w:color w:val="808080"/>
    </w:rPr>
  </w:style>
  <w:style w:type="character" w:customStyle="1" w:styleId="Ttulo3Car">
    <w:name w:val="Título 3 Car"/>
    <w:basedOn w:val="Fuentedeprrafopredeter"/>
    <w:link w:val="Ttulo3"/>
    <w:rsid w:val="004945EA"/>
    <w:rPr>
      <w:rFonts w:ascii="Century" w:eastAsia="Times New Roman" w:hAnsi="Century"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oriano\Desktop\CECANOT_Timbrado_V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112BD-A3BA-45F9-9F3D-A740B8E1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CECANOT_Timbrado_V2</Template>
  <TotalTime>2</TotalTime>
  <Pages>5</Pages>
  <Words>1188</Words>
  <Characters>6537</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Hospital CECANOT</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Dra.Mayra Soriano</dc:creator>
  <cp:lastModifiedBy>Namibia Paulino</cp:lastModifiedBy>
  <cp:revision>2</cp:revision>
  <cp:lastPrinted>2020-03-19T19:09:00Z</cp:lastPrinted>
  <dcterms:created xsi:type="dcterms:W3CDTF">2020-07-24T16:17:00Z</dcterms:created>
  <dcterms:modified xsi:type="dcterms:W3CDTF">2020-07-24T16:17:00Z</dcterms:modified>
</cp:coreProperties>
</file>